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cstheme="minorBidi"/>
          <w:color w:val="auto"/>
          <w:kern w:val="2"/>
          <w:szCs w:val="21"/>
        </w:rPr>
      </w:pPr>
      <w:bookmarkStart w:id="0" w:name="_GoBack"/>
      <w:bookmarkEnd w:id="0"/>
    </w:p>
    <w:p>
      <w:pPr>
        <w:pStyle w:val="12"/>
        <w:spacing w:before="156" w:beforeLines="50" w:after="156" w:afterLines="50" w:line="480" w:lineRule="auto"/>
        <w:jc w:val="center"/>
        <w:rPr>
          <w:rStyle w:val="18"/>
          <w:rFonts w:hint="default"/>
          <w:bCs w:val="0"/>
          <w:color w:val="auto"/>
          <w:lang w:val="en-US" w:eastAsia="zh-CN" w:bidi="ar-SA"/>
        </w:rPr>
      </w:pPr>
      <w:r>
        <w:rPr>
          <w:rStyle w:val="18"/>
          <w:rFonts w:hint="eastAsia"/>
          <w:bCs w:val="0"/>
          <w:color w:val="auto"/>
          <w:lang w:val="en-US" w:eastAsia="zh-CN" w:bidi="ar-SA"/>
        </w:rPr>
        <w:t>盐城市天然气开发利用有限公司盐东综合办公楼四楼职工宿舍家具采购项目</w:t>
      </w:r>
    </w:p>
    <w:p>
      <w:pPr>
        <w:pStyle w:val="12"/>
        <w:rPr>
          <w:rFonts w:hint="default" w:cstheme="minorBidi"/>
          <w:color w:val="FF0000"/>
          <w:kern w:val="2"/>
          <w:szCs w:val="21"/>
        </w:rPr>
      </w:pPr>
    </w:p>
    <w:p>
      <w:pPr>
        <w:pStyle w:val="12"/>
        <w:rPr>
          <w:rFonts w:hint="default" w:cstheme="minorBidi"/>
          <w:color w:val="FF0000"/>
          <w:kern w:val="2"/>
          <w:szCs w:val="21"/>
        </w:rPr>
      </w:pPr>
    </w:p>
    <w:p>
      <w:pPr>
        <w:pStyle w:val="12"/>
        <w:rPr>
          <w:rFonts w:hint="default" w:cstheme="minorBidi"/>
          <w:color w:val="FF0000"/>
          <w:kern w:val="2"/>
          <w:szCs w:val="21"/>
        </w:rPr>
      </w:pPr>
    </w:p>
    <w:p>
      <w:pPr>
        <w:pStyle w:val="12"/>
        <w:rPr>
          <w:rFonts w:hint="default" w:cstheme="minorBidi"/>
          <w:color w:val="FF0000"/>
          <w:kern w:val="2"/>
          <w:szCs w:val="21"/>
        </w:rPr>
      </w:pPr>
    </w:p>
    <w:p>
      <w:pPr>
        <w:pStyle w:val="12"/>
        <w:rPr>
          <w:rFonts w:hint="default" w:cstheme="minorBidi"/>
          <w:color w:val="FF0000"/>
          <w:kern w:val="2"/>
          <w:szCs w:val="21"/>
        </w:rPr>
      </w:pPr>
    </w:p>
    <w:p>
      <w:pPr>
        <w:pStyle w:val="12"/>
        <w:rPr>
          <w:rFonts w:hint="default" w:cstheme="minorBidi"/>
          <w:color w:val="FF0000"/>
          <w:kern w:val="2"/>
          <w:szCs w:val="21"/>
        </w:rPr>
      </w:pPr>
    </w:p>
    <w:p>
      <w:pPr>
        <w:pStyle w:val="12"/>
        <w:rPr>
          <w:rFonts w:hint="default" w:cstheme="minorBidi"/>
          <w:color w:val="FF0000"/>
          <w:kern w:val="2"/>
          <w:szCs w:val="21"/>
        </w:rPr>
      </w:pPr>
    </w:p>
    <w:p>
      <w:pPr>
        <w:pStyle w:val="1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投标报价文件</w:t>
      </w:r>
    </w:p>
    <w:p>
      <w:pPr>
        <w:pStyle w:val="12"/>
        <w:jc w:val="center"/>
        <w:rPr>
          <w:rFonts w:hint="default" w:cstheme="minorBidi"/>
          <w:color w:val="000000" w:themeColor="text1"/>
          <w:kern w:val="2"/>
          <w:sz w:val="56"/>
          <w:szCs w:val="21"/>
          <w14:textFill>
            <w14:solidFill>
              <w14:schemeClr w14:val="tx1"/>
            </w14:solidFill>
          </w14:textFill>
        </w:rPr>
      </w:pPr>
    </w:p>
    <w:p>
      <w:pPr>
        <w:pStyle w:val="12"/>
        <w:jc w:val="center"/>
        <w:rPr>
          <w:rFonts w:hint="default" w:cstheme="minorBidi"/>
          <w:color w:val="000000" w:themeColor="text1"/>
          <w:kern w:val="2"/>
          <w:sz w:val="56"/>
          <w:szCs w:val="21"/>
          <w14:textFill>
            <w14:solidFill>
              <w14:schemeClr w14:val="tx1"/>
            </w14:solidFill>
          </w14:textFill>
        </w:rPr>
      </w:pPr>
    </w:p>
    <w:p>
      <w:pPr>
        <w:pStyle w:val="12"/>
        <w:jc w:val="center"/>
        <w:rPr>
          <w:rFonts w:hint="default" w:cstheme="minorBidi"/>
          <w:color w:val="000000" w:themeColor="text1"/>
          <w:kern w:val="2"/>
          <w:sz w:val="56"/>
          <w:szCs w:val="21"/>
          <w14:textFill>
            <w14:solidFill>
              <w14:schemeClr w14:val="tx1"/>
            </w14:solidFill>
          </w14:textFill>
        </w:rPr>
      </w:pPr>
    </w:p>
    <w:p>
      <w:pPr>
        <w:pStyle w:val="1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1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1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一、项目概况</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xml:space="preserve">1.1 </w:t>
      </w:r>
      <w:r>
        <w:rPr>
          <w:rFonts w:hint="eastAsia" w:ascii="宋体" w:hAnsi="宋体" w:eastAsia="宋体" w:cs="宋体"/>
          <w:i w:val="0"/>
          <w:iCs w:val="0"/>
          <w:caps w:val="0"/>
          <w:color w:val="333333"/>
          <w:spacing w:val="0"/>
          <w:sz w:val="24"/>
          <w:szCs w:val="24"/>
          <w:shd w:val="clear" w:fill="FFFFFF"/>
          <w:lang w:eastAsia="zh-CN"/>
        </w:rPr>
        <w:t>询价</w:t>
      </w:r>
      <w:r>
        <w:rPr>
          <w:rFonts w:hint="eastAsia" w:ascii="宋体" w:hAnsi="宋体" w:eastAsia="宋体" w:cs="宋体"/>
          <w:i w:val="0"/>
          <w:iCs w:val="0"/>
          <w:caps w:val="0"/>
          <w:color w:val="333333"/>
          <w:spacing w:val="0"/>
          <w:sz w:val="24"/>
          <w:szCs w:val="24"/>
          <w:shd w:val="clear" w:fill="FFFFFF"/>
        </w:rPr>
        <w:t>人：盐城市天然气开发利用有限公司。</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1.2 项目名称：</w:t>
      </w:r>
      <w:r>
        <w:rPr>
          <w:rFonts w:hint="eastAsia" w:ascii="宋体" w:hAnsi="宋体" w:eastAsia="宋体" w:cs="宋体"/>
          <w:i w:val="0"/>
          <w:iCs w:val="0"/>
          <w:caps w:val="0"/>
          <w:color w:val="333333"/>
          <w:spacing w:val="0"/>
          <w:sz w:val="24"/>
          <w:szCs w:val="24"/>
          <w:shd w:val="clear" w:fill="FFFFFF"/>
          <w:lang w:eastAsia="zh-CN"/>
        </w:rPr>
        <w:t>盐城市天然气开发利用有限公司盐东综合办公楼</w:t>
      </w:r>
      <w:r>
        <w:rPr>
          <w:rFonts w:hint="eastAsia" w:ascii="宋体" w:hAnsi="宋体" w:eastAsia="宋体" w:cs="宋体"/>
          <w:i w:val="0"/>
          <w:iCs w:val="0"/>
          <w:caps w:val="0"/>
          <w:color w:val="333333"/>
          <w:spacing w:val="0"/>
          <w:sz w:val="24"/>
          <w:szCs w:val="24"/>
          <w:shd w:val="clear" w:fill="FFFFFF"/>
          <w:lang w:val="en-US" w:eastAsia="zh-CN"/>
        </w:rPr>
        <w:t>四楼职工宿舍家具</w:t>
      </w:r>
      <w:r>
        <w:rPr>
          <w:rFonts w:hint="eastAsia" w:ascii="宋体" w:hAnsi="宋体" w:eastAsia="宋体" w:cs="宋体"/>
          <w:i w:val="0"/>
          <w:iCs w:val="0"/>
          <w:caps w:val="0"/>
          <w:color w:val="333333"/>
          <w:spacing w:val="0"/>
          <w:sz w:val="24"/>
          <w:szCs w:val="24"/>
          <w:shd w:val="clear" w:fill="FFFFFF"/>
          <w:lang w:eastAsia="zh-CN"/>
        </w:rPr>
        <w:t>采购</w:t>
      </w:r>
      <w:r>
        <w:rPr>
          <w:rFonts w:hint="eastAsia" w:ascii="宋体" w:hAnsi="宋体" w:eastAsia="宋体" w:cs="宋体"/>
          <w:i w:val="0"/>
          <w:iCs w:val="0"/>
          <w:caps w:val="0"/>
          <w:color w:val="333333"/>
          <w:spacing w:val="0"/>
          <w:sz w:val="24"/>
          <w:szCs w:val="24"/>
          <w:shd w:val="clear" w:fill="FFFFFF"/>
          <w:lang w:val="en-US" w:eastAsia="zh-CN"/>
        </w:rPr>
        <w:t>项目</w:t>
      </w:r>
      <w:r>
        <w:rPr>
          <w:rFonts w:hint="eastAsia" w:ascii="宋体" w:hAnsi="宋体" w:eastAsia="宋体" w:cs="宋体"/>
          <w:i w:val="0"/>
          <w:iCs w:val="0"/>
          <w:caps w:val="0"/>
          <w:color w:val="333333"/>
          <w:spacing w:val="0"/>
          <w:sz w:val="24"/>
          <w:szCs w:val="24"/>
          <w:shd w:val="clear" w:fill="FFFFFF"/>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xml:space="preserve">1.3 </w:t>
      </w:r>
      <w:r>
        <w:rPr>
          <w:rFonts w:hint="eastAsia" w:ascii="宋体" w:hAnsi="宋体" w:eastAsia="宋体" w:cs="宋体"/>
          <w:i w:val="0"/>
          <w:iCs w:val="0"/>
          <w:caps w:val="0"/>
          <w:color w:val="333333"/>
          <w:spacing w:val="0"/>
          <w:sz w:val="24"/>
          <w:szCs w:val="24"/>
          <w:shd w:val="clear" w:fill="FFFFFF"/>
          <w:lang w:val="en-US" w:eastAsia="zh-CN"/>
        </w:rPr>
        <w:t>供货</w:t>
      </w:r>
      <w:r>
        <w:rPr>
          <w:rFonts w:hint="eastAsia" w:ascii="宋体" w:hAnsi="宋体" w:eastAsia="宋体" w:cs="宋体"/>
          <w:i w:val="0"/>
          <w:iCs w:val="0"/>
          <w:caps w:val="0"/>
          <w:color w:val="333333"/>
          <w:spacing w:val="0"/>
          <w:sz w:val="24"/>
          <w:szCs w:val="24"/>
          <w:shd w:val="clear" w:fill="FFFFFF"/>
        </w:rPr>
        <w:t>地点：江苏省盐城市亭湖区盐东镇生建村三组113#。</w:t>
      </w:r>
    </w:p>
    <w:p>
      <w:pPr>
        <w:pStyle w:val="7"/>
        <w:keepNext w:val="0"/>
        <w:keepLines w:val="0"/>
        <w:widowControl/>
        <w:suppressLineNumbers w:val="0"/>
        <w:shd w:val="clear" w:fill="FFFFFF"/>
        <w:spacing w:line="360" w:lineRule="auto"/>
        <w:ind w:left="0" w:firstLine="0"/>
        <w:rPr>
          <w:rFonts w:hint="default" w:ascii="宋体" w:hAnsi="宋体" w:eastAsia="宋体" w:cs="宋体"/>
          <w:i w:val="0"/>
          <w:iCs w:val="0"/>
          <w:caps w:val="0"/>
          <w:color w:val="333333"/>
          <w:spacing w:val="0"/>
          <w:sz w:val="24"/>
          <w:szCs w:val="24"/>
          <w:shd w:val="clear" w:fill="FFFFFF"/>
          <w:lang w:val="en-US"/>
        </w:rPr>
      </w:pPr>
      <w:r>
        <w:rPr>
          <w:rFonts w:hint="eastAsia" w:ascii="宋体" w:hAnsi="宋体" w:eastAsia="宋体" w:cs="宋体"/>
          <w:i w:val="0"/>
          <w:iCs w:val="0"/>
          <w:caps w:val="0"/>
          <w:color w:val="333333"/>
          <w:spacing w:val="0"/>
          <w:sz w:val="24"/>
          <w:szCs w:val="24"/>
          <w:shd w:val="clear" w:fill="FFFFFF"/>
        </w:rPr>
        <w:t>1.4 项目概况：</w:t>
      </w:r>
      <w:r>
        <w:rPr>
          <w:rFonts w:hint="eastAsia" w:ascii="宋体" w:hAnsi="宋体" w:eastAsia="宋体" w:cs="宋体"/>
          <w:i w:val="0"/>
          <w:iCs w:val="0"/>
          <w:caps w:val="0"/>
          <w:color w:val="333333"/>
          <w:spacing w:val="0"/>
          <w:sz w:val="24"/>
          <w:szCs w:val="24"/>
          <w:shd w:val="clear" w:fill="FFFFFF"/>
          <w:lang w:val="en-US" w:eastAsia="zh-CN"/>
        </w:rPr>
        <w:t>天然气公司盐东综合办公楼于近期投入使用，四楼职工宿舍需配备床、长条桌、床头柜、椅子等家具。具体配置描述见询价函附件。</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lang w:val="en-US" w:eastAsia="zh-CN"/>
        </w:rPr>
        <w:t>5</w:t>
      </w:r>
      <w:r>
        <w:rPr>
          <w:rFonts w:hint="eastAsia" w:ascii="宋体" w:hAnsi="宋体" w:eastAsia="宋体" w:cs="宋体"/>
          <w:i w:val="0"/>
          <w:iCs w:val="0"/>
          <w:caps w:val="0"/>
          <w:color w:val="333333"/>
          <w:spacing w:val="0"/>
          <w:sz w:val="24"/>
          <w:szCs w:val="24"/>
          <w:shd w:val="clear" w:fill="FFFFFF"/>
        </w:rPr>
        <w:t xml:space="preserve"> 质量要</w:t>
      </w:r>
      <w:r>
        <w:rPr>
          <w:rFonts w:hint="eastAsia" w:ascii="宋体" w:hAnsi="宋体" w:eastAsia="宋体" w:cs="宋体"/>
          <w:i w:val="0"/>
          <w:iCs w:val="0"/>
          <w:caps w:val="0"/>
          <w:color w:val="333333"/>
          <w:spacing w:val="0"/>
          <w:sz w:val="24"/>
          <w:szCs w:val="24"/>
          <w:shd w:val="clear" w:fill="FFFFFF"/>
          <w:lang w:val="en-US" w:eastAsia="zh-CN"/>
        </w:rPr>
        <w:t>求：合格。质保期两年</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 xml:space="preserve"> 服务期限：在接到</w:t>
      </w:r>
      <w:r>
        <w:rPr>
          <w:rFonts w:hint="eastAsia" w:ascii="宋体" w:hAnsi="宋体" w:eastAsia="宋体" w:cs="宋体"/>
          <w:i w:val="0"/>
          <w:iCs w:val="0"/>
          <w:caps w:val="0"/>
          <w:color w:val="333333"/>
          <w:spacing w:val="0"/>
          <w:sz w:val="24"/>
          <w:szCs w:val="24"/>
          <w:shd w:val="clear" w:fill="FFFFFF"/>
          <w:lang w:eastAsia="zh-CN"/>
        </w:rPr>
        <w:t>询价</w:t>
      </w:r>
      <w:r>
        <w:rPr>
          <w:rFonts w:hint="eastAsia" w:ascii="宋体" w:hAnsi="宋体" w:eastAsia="宋体" w:cs="宋体"/>
          <w:i w:val="0"/>
          <w:iCs w:val="0"/>
          <w:caps w:val="0"/>
          <w:color w:val="333333"/>
          <w:spacing w:val="0"/>
          <w:sz w:val="24"/>
          <w:szCs w:val="24"/>
          <w:shd w:val="clear" w:fill="FFFFFF"/>
        </w:rPr>
        <w:t>人通知起</w:t>
      </w:r>
      <w:r>
        <w:rPr>
          <w:rFonts w:hint="eastAsia" w:ascii="宋体" w:hAnsi="宋体" w:eastAsia="宋体" w:cs="宋体"/>
          <w:i w:val="0"/>
          <w:iCs w:val="0"/>
          <w:caps w:val="0"/>
          <w:color w:val="333333"/>
          <w:spacing w:val="0"/>
          <w:sz w:val="24"/>
          <w:szCs w:val="24"/>
          <w:shd w:val="clear" w:fill="FFFFFF"/>
          <w:lang w:val="en-US" w:eastAsia="zh-CN"/>
        </w:rPr>
        <w:t>20天</w:t>
      </w:r>
      <w:r>
        <w:rPr>
          <w:rFonts w:hint="eastAsia" w:ascii="宋体" w:hAnsi="宋体" w:eastAsia="宋体" w:cs="宋体"/>
          <w:i w:val="0"/>
          <w:iCs w:val="0"/>
          <w:caps w:val="0"/>
          <w:color w:val="333333"/>
          <w:spacing w:val="0"/>
          <w:sz w:val="24"/>
          <w:szCs w:val="24"/>
          <w:shd w:val="clear" w:fill="FFFFFF"/>
        </w:rPr>
        <w:t>内，</w:t>
      </w:r>
      <w:r>
        <w:rPr>
          <w:rFonts w:hint="eastAsia" w:ascii="宋体" w:hAnsi="宋体" w:eastAsia="宋体" w:cs="宋体"/>
          <w:i w:val="0"/>
          <w:iCs w:val="0"/>
          <w:caps w:val="0"/>
          <w:color w:val="333333"/>
          <w:spacing w:val="0"/>
          <w:sz w:val="24"/>
          <w:szCs w:val="24"/>
          <w:shd w:val="clear" w:fill="FFFFFF"/>
          <w:lang w:val="en-US" w:eastAsia="zh-CN"/>
        </w:rPr>
        <w:t>向询价人指定地点完成报价文件内所有设备供货并安装</w:t>
      </w:r>
      <w:r>
        <w:rPr>
          <w:rFonts w:hint="eastAsia" w:ascii="宋体" w:hAnsi="宋体" w:eastAsia="宋体" w:cs="宋体"/>
          <w:i w:val="0"/>
          <w:iCs w:val="0"/>
          <w:caps w:val="0"/>
          <w:color w:val="333333"/>
          <w:spacing w:val="0"/>
          <w:sz w:val="24"/>
          <w:szCs w:val="24"/>
          <w:shd w:val="clear" w:fill="FFFFFF"/>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二、投标人资格要求</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xml:space="preserve">2.1 </w:t>
      </w:r>
      <w:r>
        <w:rPr>
          <w:rFonts w:hint="eastAsia" w:ascii="宋体" w:hAnsi="宋体" w:eastAsia="宋体" w:cs="宋体"/>
          <w:i w:val="0"/>
          <w:iCs w:val="0"/>
          <w:caps w:val="0"/>
          <w:color w:val="333333"/>
          <w:spacing w:val="0"/>
          <w:sz w:val="24"/>
          <w:szCs w:val="24"/>
          <w:shd w:val="clear" w:fill="FFFFFF"/>
          <w:lang w:val="en-US" w:eastAsia="zh-CN"/>
        </w:rPr>
        <w:t>投标人必须是在中国境内注册，且有能力按照文件规定的要求完成本次招标项目的独立法人企业</w:t>
      </w:r>
      <w:r>
        <w:rPr>
          <w:rFonts w:hint="eastAsia" w:ascii="宋体" w:hAnsi="宋体" w:eastAsia="宋体" w:cs="宋体"/>
          <w:i w:val="0"/>
          <w:iCs w:val="0"/>
          <w:caps w:val="0"/>
          <w:color w:val="333333"/>
          <w:spacing w:val="0"/>
          <w:sz w:val="24"/>
          <w:szCs w:val="24"/>
          <w:shd w:val="clear" w:fill="FFFFFF"/>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2.2</w:t>
      </w:r>
      <w:r>
        <w:rPr>
          <w:rFonts w:hint="eastAsia" w:ascii="宋体" w:hAnsi="宋体" w:eastAsia="宋体" w:cs="宋体"/>
          <w:i w:val="0"/>
          <w:iCs w:val="0"/>
          <w:caps w:val="0"/>
          <w:color w:val="333333"/>
          <w:spacing w:val="0"/>
          <w:sz w:val="24"/>
          <w:szCs w:val="24"/>
          <w:shd w:val="clear" w:fill="FFFFFF"/>
          <w:lang w:val="en-US" w:eastAsia="zh-CN"/>
        </w:rPr>
        <w:t xml:space="preserve"> 未处于被责令停业、投标资格被取消或者财产被接管、冻结和破产状态</w:t>
      </w:r>
      <w:r>
        <w:rPr>
          <w:rFonts w:hint="eastAsia" w:ascii="宋体" w:hAnsi="宋体" w:eastAsia="宋体" w:cs="宋体"/>
          <w:i w:val="0"/>
          <w:iCs w:val="0"/>
          <w:caps w:val="0"/>
          <w:color w:val="333333"/>
          <w:spacing w:val="0"/>
          <w:sz w:val="24"/>
          <w:szCs w:val="24"/>
          <w:shd w:val="clear" w:fill="FFFFFF"/>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val="en-US" w:eastAsia="zh-CN"/>
        </w:rPr>
        <w:t>2.3 企业没有因骗取中标或者严重违约以及发生重大工程质量、安全生产事故等违法违规问题，被有关部门暂停投标资格并在暂停期内的</w:t>
      </w:r>
      <w:r>
        <w:rPr>
          <w:rFonts w:hint="eastAsia" w:ascii="宋体" w:hAnsi="宋体" w:eastAsia="宋体" w:cs="宋体"/>
          <w:i w:val="0"/>
          <w:iCs w:val="0"/>
          <w:caps w:val="0"/>
          <w:color w:val="333333"/>
          <w:spacing w:val="0"/>
          <w:sz w:val="24"/>
          <w:szCs w:val="24"/>
          <w:shd w:val="clear" w:fill="FFFFFF"/>
          <w:lang w:eastAsia="zh-CN"/>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2.4 投标人及其法定代表人未被“信用中国”网站列入失信被执行人、重大税收违法案件当事人名单和政府采购严重违法失信名单。</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2.5 投标人及其法定代表人没有被国家、江苏省省级有关部门及盐城市级有关部门暂停招投标或市场准入资格且在公示处罚期内。</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 xml:space="preserve">2.6 </w:t>
      </w:r>
      <w:r>
        <w:rPr>
          <w:rFonts w:hint="eastAsia" w:ascii="宋体" w:hAnsi="宋体" w:eastAsia="宋体" w:cs="宋体"/>
          <w:i w:val="0"/>
          <w:iCs w:val="0"/>
          <w:caps w:val="0"/>
          <w:color w:val="333333"/>
          <w:spacing w:val="0"/>
          <w:sz w:val="24"/>
          <w:szCs w:val="24"/>
          <w:shd w:val="clear" w:fill="FFFFFF"/>
        </w:rPr>
        <w:t>本项目不接受联合体投标</w:t>
      </w:r>
      <w:r>
        <w:rPr>
          <w:rFonts w:hint="eastAsia" w:ascii="宋体" w:hAnsi="宋体" w:eastAsia="宋体" w:cs="宋体"/>
          <w:i w:val="0"/>
          <w:iCs w:val="0"/>
          <w:caps w:val="0"/>
          <w:color w:val="333333"/>
          <w:spacing w:val="0"/>
          <w:sz w:val="24"/>
          <w:szCs w:val="24"/>
          <w:shd w:val="clear" w:fill="FFFFFF"/>
          <w:lang w:eastAsia="zh-CN"/>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lang w:val="en-US" w:eastAsia="zh-CN"/>
        </w:rPr>
        <w:t xml:space="preserve">7 </w:t>
      </w:r>
      <w:r>
        <w:rPr>
          <w:rFonts w:hint="eastAsia" w:ascii="宋体" w:hAnsi="宋体" w:eastAsia="宋体" w:cs="宋体"/>
          <w:i w:val="0"/>
          <w:iCs w:val="0"/>
          <w:caps w:val="0"/>
          <w:color w:val="333333"/>
          <w:spacing w:val="0"/>
          <w:sz w:val="24"/>
          <w:szCs w:val="24"/>
          <w:shd w:val="clear" w:fill="FFFFFF"/>
        </w:rPr>
        <w:t>本项目严禁挂靠。招标项目公示之后、中标通知书发出之前履行约谈法定代表人的程序，如此时发现挂靠，①取消其中标资格；②没收投标保证金；③追究其耽误招标人工期、各项费用损失之法律责任。如在中标之后发现其挂靠，则①立即清退出场；②没收全部履约保证金；③承担招标人延期施工等一切损失；④终身禁止参与招标人所有项目；⑤上报建设主管部门，将其列入黑名单；</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lang w:val="en-US" w:eastAsia="zh-CN"/>
        </w:rPr>
        <w:t xml:space="preserve">8 </w:t>
      </w:r>
      <w:r>
        <w:rPr>
          <w:rFonts w:hint="eastAsia" w:ascii="宋体" w:hAnsi="宋体" w:eastAsia="宋体" w:cs="宋体"/>
          <w:i w:val="0"/>
          <w:iCs w:val="0"/>
          <w:caps w:val="0"/>
          <w:color w:val="333333"/>
          <w:spacing w:val="0"/>
          <w:sz w:val="24"/>
          <w:szCs w:val="24"/>
          <w:shd w:val="clear" w:fill="FFFFFF"/>
        </w:rPr>
        <w:t>法律、行政法规规定的其他条件。</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三、投标报价</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lang w:val="en-US" w:eastAsia="zh-CN"/>
        </w:rPr>
        <w:t>本项目报价为全费用综合单价（即将所有费用均摊销至各综合单价中），投标人根据招标人提供的报价清单报全费用综合单价和总价。项目结算时，供货量按实结算，除招标人调整项目内容或合同约定调整外，一律不调整中标全费用综合单价</w:t>
      </w:r>
      <w:r>
        <w:rPr>
          <w:rFonts w:hint="eastAsia" w:ascii="宋体" w:hAnsi="宋体" w:eastAsia="宋体" w:cs="宋体"/>
          <w:i w:val="0"/>
          <w:iCs w:val="0"/>
          <w:caps w:val="0"/>
          <w:color w:val="333333"/>
          <w:spacing w:val="0"/>
          <w:sz w:val="24"/>
          <w:szCs w:val="24"/>
          <w:shd w:val="clear" w:fill="FFFFFF"/>
        </w:rPr>
        <w:t>。</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2、床、床头柜、长条桌、椅子、床垫等采购</w:t>
      </w:r>
      <w:r>
        <w:rPr>
          <w:rFonts w:hint="eastAsia" w:ascii="宋体" w:hAnsi="宋体" w:eastAsia="宋体" w:cs="宋体"/>
          <w:i w:val="0"/>
          <w:iCs w:val="0"/>
          <w:caps w:val="0"/>
          <w:color w:val="333333"/>
          <w:spacing w:val="0"/>
          <w:sz w:val="24"/>
          <w:szCs w:val="24"/>
          <w:shd w:val="clear" w:fill="FFFFFF"/>
        </w:rPr>
        <w:t>文件规定的全部内容所需的所有费用。投标人的报价应包括</w:t>
      </w:r>
      <w:r>
        <w:rPr>
          <w:rFonts w:hint="eastAsia" w:ascii="宋体" w:hAnsi="宋体" w:eastAsia="宋体" w:cs="宋体"/>
          <w:i w:val="0"/>
          <w:iCs w:val="0"/>
          <w:caps w:val="0"/>
          <w:color w:val="333333"/>
          <w:spacing w:val="0"/>
          <w:sz w:val="24"/>
          <w:szCs w:val="24"/>
          <w:shd w:val="clear" w:fill="FFFFFF"/>
          <w:lang w:eastAsia="zh-CN"/>
        </w:rPr>
        <w:t>采购报价清单</w:t>
      </w:r>
      <w:r>
        <w:rPr>
          <w:rFonts w:hint="eastAsia" w:ascii="宋体" w:hAnsi="宋体" w:eastAsia="宋体" w:cs="宋体"/>
          <w:i w:val="0"/>
          <w:iCs w:val="0"/>
          <w:caps w:val="0"/>
          <w:color w:val="333333"/>
          <w:spacing w:val="0"/>
          <w:sz w:val="24"/>
          <w:szCs w:val="24"/>
          <w:shd w:val="clear" w:fill="FFFFFF"/>
        </w:rPr>
        <w:t>中的所有内容，投标人应充分考虑为完成上述内容所必须的全部货物并进行相关服务所需的所有费用，即主要包括（但不限于）：货物价格（含全套配件货物、备品备件、专用工具、技术资料等）、直接和间接成本费、</w:t>
      </w:r>
      <w:r>
        <w:rPr>
          <w:rFonts w:hint="eastAsia" w:ascii="宋体" w:hAnsi="宋体" w:eastAsia="宋体" w:cs="宋体"/>
          <w:i w:val="0"/>
          <w:iCs w:val="0"/>
          <w:caps w:val="0"/>
          <w:color w:val="333333"/>
          <w:spacing w:val="0"/>
          <w:sz w:val="24"/>
          <w:szCs w:val="24"/>
          <w:shd w:val="clear" w:fill="FFFFFF"/>
          <w:lang w:eastAsia="zh-CN"/>
        </w:rPr>
        <w:t>招标代理</w:t>
      </w:r>
      <w:r>
        <w:rPr>
          <w:rFonts w:hint="eastAsia" w:ascii="宋体" w:hAnsi="宋体" w:eastAsia="宋体" w:cs="宋体"/>
          <w:i w:val="0"/>
          <w:iCs w:val="0"/>
          <w:caps w:val="0"/>
          <w:color w:val="333333"/>
          <w:spacing w:val="0"/>
          <w:sz w:val="24"/>
          <w:szCs w:val="24"/>
          <w:shd w:val="clear" w:fill="FFFFFF"/>
          <w:lang w:val="en-US" w:eastAsia="zh-CN"/>
        </w:rPr>
        <w:t>及造价咨询服务</w:t>
      </w:r>
      <w:r>
        <w:rPr>
          <w:rFonts w:hint="eastAsia" w:ascii="宋体" w:hAnsi="宋体" w:eastAsia="宋体" w:cs="宋体"/>
          <w:i w:val="0"/>
          <w:iCs w:val="0"/>
          <w:caps w:val="0"/>
          <w:color w:val="333333"/>
          <w:spacing w:val="0"/>
          <w:sz w:val="24"/>
          <w:szCs w:val="24"/>
          <w:shd w:val="clear" w:fill="FFFFFF"/>
          <w:lang w:eastAsia="zh-CN"/>
        </w:rPr>
        <w:t>费、</w:t>
      </w:r>
      <w:r>
        <w:rPr>
          <w:rFonts w:hint="eastAsia" w:ascii="宋体" w:hAnsi="宋体" w:eastAsia="宋体" w:cs="宋体"/>
          <w:i w:val="0"/>
          <w:iCs w:val="0"/>
          <w:caps w:val="0"/>
          <w:color w:val="333333"/>
          <w:spacing w:val="0"/>
          <w:sz w:val="24"/>
          <w:szCs w:val="24"/>
          <w:shd w:val="clear" w:fill="FFFFFF"/>
        </w:rPr>
        <w:t>材料损耗费、劳务费、清洁费、垃圾清运费、包装费、采购费、生产费、安装费、运杂费（含运输费）、装卸费、保修费、保险费、管理费、配合费、检测费、售后服务费、税金、利润、风险费、不可预见费及其它相关所有费用，凡漏项或少计均视为优惠，</w:t>
      </w:r>
      <w:r>
        <w:rPr>
          <w:rFonts w:hint="eastAsia" w:ascii="宋体" w:hAnsi="宋体" w:eastAsia="宋体" w:cs="宋体"/>
          <w:i w:val="0"/>
          <w:iCs w:val="0"/>
          <w:caps w:val="0"/>
          <w:color w:val="333333"/>
          <w:spacing w:val="0"/>
          <w:sz w:val="24"/>
          <w:szCs w:val="24"/>
          <w:shd w:val="clear" w:fill="FFFFFF"/>
          <w:lang w:eastAsia="zh-CN"/>
        </w:rPr>
        <w:t>招标人</w:t>
      </w:r>
      <w:r>
        <w:rPr>
          <w:rFonts w:hint="eastAsia" w:ascii="宋体" w:hAnsi="宋体" w:eastAsia="宋体" w:cs="宋体"/>
          <w:i w:val="0"/>
          <w:iCs w:val="0"/>
          <w:caps w:val="0"/>
          <w:color w:val="333333"/>
          <w:spacing w:val="0"/>
          <w:sz w:val="24"/>
          <w:szCs w:val="24"/>
          <w:shd w:val="clear" w:fill="FFFFFF"/>
        </w:rPr>
        <w:t>不另行增加费用。各类风险和政策性调整等风险已包括在投标报价中，最终结算时除合同约定调整外一律不予调整</w:t>
      </w:r>
    </w:p>
    <w:p>
      <w:pPr>
        <w:pStyle w:val="7"/>
        <w:keepNext w:val="0"/>
        <w:keepLines w:val="0"/>
        <w:widowControl/>
        <w:suppressLineNumbers w:val="0"/>
        <w:shd w:val="clear" w:fill="FFFFFF"/>
        <w:spacing w:line="360" w:lineRule="auto"/>
        <w:ind w:lef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、本次</w:t>
      </w:r>
      <w:r>
        <w:rPr>
          <w:rFonts w:hint="eastAsia" w:ascii="宋体" w:hAnsi="宋体" w:eastAsia="宋体" w:cs="宋体"/>
          <w:i w:val="0"/>
          <w:iCs w:val="0"/>
          <w:caps w:val="0"/>
          <w:color w:val="333333"/>
          <w:spacing w:val="0"/>
          <w:sz w:val="24"/>
          <w:szCs w:val="24"/>
          <w:shd w:val="clear" w:fill="FFFFFF"/>
          <w:lang w:eastAsia="zh-CN"/>
        </w:rPr>
        <w:t>询价</w:t>
      </w:r>
      <w:r>
        <w:rPr>
          <w:rFonts w:hint="eastAsia" w:ascii="宋体" w:hAnsi="宋体" w:eastAsia="宋体" w:cs="宋体"/>
          <w:i w:val="0"/>
          <w:iCs w:val="0"/>
          <w:caps w:val="0"/>
          <w:color w:val="333333"/>
          <w:spacing w:val="0"/>
          <w:sz w:val="24"/>
          <w:szCs w:val="24"/>
          <w:shd w:val="clear" w:fill="FFFFFF"/>
          <w:lang w:val="en-US" w:eastAsia="zh-CN"/>
        </w:rPr>
        <w:t>定标</w:t>
      </w:r>
      <w:r>
        <w:rPr>
          <w:rFonts w:hint="eastAsia" w:ascii="宋体" w:hAnsi="宋体" w:eastAsia="宋体" w:cs="宋体"/>
          <w:i w:val="0"/>
          <w:iCs w:val="0"/>
          <w:caps w:val="0"/>
          <w:color w:val="333333"/>
          <w:spacing w:val="0"/>
          <w:sz w:val="24"/>
          <w:szCs w:val="24"/>
          <w:shd w:val="clear" w:fill="FFFFFF"/>
        </w:rPr>
        <w:t>办法为经评审的最低投标价法，投标报价即为最终报价，无二轮报价。若最终报价未达</w:t>
      </w:r>
      <w:r>
        <w:rPr>
          <w:rFonts w:hint="eastAsia" w:ascii="宋体" w:hAnsi="宋体" w:eastAsia="宋体" w:cs="宋体"/>
          <w:i w:val="0"/>
          <w:iCs w:val="0"/>
          <w:caps w:val="0"/>
          <w:color w:val="333333"/>
          <w:spacing w:val="0"/>
          <w:sz w:val="24"/>
          <w:szCs w:val="24"/>
          <w:shd w:val="clear" w:fill="FFFFFF"/>
          <w:lang w:eastAsia="zh-CN"/>
        </w:rPr>
        <w:t>询价</w:t>
      </w:r>
      <w:r>
        <w:rPr>
          <w:rFonts w:hint="eastAsia" w:ascii="宋体" w:hAnsi="宋体" w:eastAsia="宋体" w:cs="宋体"/>
          <w:i w:val="0"/>
          <w:iCs w:val="0"/>
          <w:caps w:val="0"/>
          <w:color w:val="333333"/>
          <w:spacing w:val="0"/>
          <w:sz w:val="24"/>
          <w:szCs w:val="24"/>
          <w:shd w:val="clear" w:fill="FFFFFF"/>
        </w:rPr>
        <w:t>人要求，</w:t>
      </w:r>
      <w:r>
        <w:rPr>
          <w:rFonts w:hint="eastAsia" w:ascii="宋体" w:hAnsi="宋体" w:eastAsia="宋体" w:cs="宋体"/>
          <w:i w:val="0"/>
          <w:iCs w:val="0"/>
          <w:caps w:val="0"/>
          <w:color w:val="333333"/>
          <w:spacing w:val="0"/>
          <w:sz w:val="24"/>
          <w:szCs w:val="24"/>
          <w:shd w:val="clear" w:fill="FFFFFF"/>
          <w:lang w:eastAsia="zh-CN"/>
        </w:rPr>
        <w:t>询价</w:t>
      </w:r>
      <w:r>
        <w:rPr>
          <w:rFonts w:hint="eastAsia" w:ascii="宋体" w:hAnsi="宋体" w:eastAsia="宋体" w:cs="宋体"/>
          <w:i w:val="0"/>
          <w:iCs w:val="0"/>
          <w:caps w:val="0"/>
          <w:color w:val="333333"/>
          <w:spacing w:val="0"/>
          <w:sz w:val="24"/>
          <w:szCs w:val="24"/>
          <w:shd w:val="clear" w:fill="FFFFFF"/>
        </w:rPr>
        <w:t>人有权重新组织询价。 </w:t>
      </w:r>
    </w:p>
    <w:p>
      <w:pPr>
        <w:pStyle w:val="7"/>
        <w:keepNext w:val="0"/>
        <w:keepLines w:val="0"/>
        <w:widowControl/>
        <w:suppressLineNumbers w:val="0"/>
        <w:shd w:val="clear" w:fill="FFFFFF"/>
        <w:tabs>
          <w:tab w:val="left" w:pos="5443"/>
        </w:tabs>
        <w:spacing w:line="360" w:lineRule="auto"/>
        <w:ind w:left="0" w:firstLine="0"/>
        <w:rPr>
          <w:rFonts w:hint="default" w:ascii="宋体" w:hAnsi="宋体" w:eastAsia="宋体" w:cs="宋体"/>
          <w:b/>
          <w:sz w:val="28"/>
          <w:szCs w:val="44"/>
          <w:lang w:val="en-US"/>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i w:val="0"/>
          <w:iCs w:val="0"/>
          <w:caps w:val="0"/>
          <w:color w:val="333333"/>
          <w:spacing w:val="0"/>
          <w:sz w:val="24"/>
          <w:szCs w:val="24"/>
          <w:shd w:val="clear" w:fill="FFFFFF"/>
          <w:lang w:val="en-US" w:eastAsia="zh-CN"/>
        </w:rPr>
        <w:t>4、本次询价限价：总价9万</w:t>
      </w:r>
    </w:p>
    <w:p>
      <w:pPr>
        <w:widowControl/>
        <w:spacing w:after="312" w:afterLines="100"/>
        <w:jc w:val="center"/>
        <w:rPr>
          <w:rFonts w:ascii="宋体" w:hAnsi="宋体" w:eastAsia="宋体"/>
          <w:b/>
          <w:sz w:val="36"/>
        </w:rPr>
      </w:pPr>
      <w:r>
        <w:rPr>
          <w:rFonts w:hint="eastAsia" w:ascii="宋体" w:hAnsi="宋体" w:eastAsia="宋体"/>
          <w:b/>
          <w:sz w:val="36"/>
        </w:rPr>
        <w:t>投标报价函</w:t>
      </w:r>
    </w:p>
    <w:p>
      <w:pPr>
        <w:widowControl/>
        <w:jc w:val="left"/>
        <w:rPr>
          <w:rFonts w:hint="eastAsia" w:ascii="宋体" w:hAnsi="宋体" w:eastAsia="宋体" w:cs="宋体"/>
          <w:sz w:val="28"/>
        </w:rPr>
      </w:pPr>
      <w:r>
        <w:rPr>
          <w:rFonts w:hint="eastAsia" w:ascii="宋体" w:hAnsi="宋体" w:eastAsia="宋体" w:cs="宋体"/>
          <w:sz w:val="28"/>
        </w:rPr>
        <w:t>我单位经研究贵方询价文件的所有内容后，决定无保留地接受询价文件所有条款，并给出以下报价</w:t>
      </w:r>
      <w:r>
        <w:rPr>
          <w:rFonts w:hint="eastAsia" w:ascii="宋体" w:hAnsi="宋体" w:eastAsia="宋体" w:cs="宋体"/>
          <w:sz w:val="28"/>
          <w:lang w:eastAsia="zh-CN"/>
        </w:rPr>
        <w:t>，</w:t>
      </w:r>
      <w:r>
        <w:rPr>
          <w:rFonts w:hint="eastAsia" w:ascii="宋体" w:hAnsi="宋体" w:eastAsia="宋体" w:cs="宋体"/>
          <w:b/>
          <w:bCs/>
          <w:sz w:val="28"/>
          <w:u w:val="single"/>
          <w:lang w:val="en-US" w:eastAsia="zh-CN"/>
        </w:rPr>
        <w:t>并承诺中标后完成现场勘测，货物与现场装饰色调匹配</w:t>
      </w:r>
      <w:r>
        <w:rPr>
          <w:rFonts w:hint="eastAsia" w:ascii="宋体" w:hAnsi="宋体" w:eastAsia="宋体" w:cs="宋体"/>
          <w:sz w:val="28"/>
        </w:rPr>
        <w:t>：</w:t>
      </w:r>
    </w:p>
    <w:tbl>
      <w:tblPr>
        <w:tblStyle w:val="8"/>
        <w:tblW w:w="1417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1"/>
        <w:gridCol w:w="842"/>
        <w:gridCol w:w="6163"/>
        <w:gridCol w:w="648"/>
        <w:gridCol w:w="749"/>
        <w:gridCol w:w="1065"/>
        <w:gridCol w:w="1024"/>
        <w:gridCol w:w="2279"/>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名称</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综合单价（元）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合价（元）</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图片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床</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规格：2000*1800*300mm ，结构：长方形，饰面：选用优质天然实木木皮，木皮厚0.6mm，无节疤、裂纹、夹皮变色等缺陷，经过防虫防腐处理，耐磨性好，纹理清晰自然，色泽一致。基材：采用优质环保实木板，甲醛含量≤1.5mg/L，经防潮、防虫、防腐处理，强度高，刚性好，不变形，物理、化学性能指标均达到国家标准。油漆及工艺：采用环保油漆，底漆为（PU）双成份聚氨脂漆，漆膜硬度达4Ｈ以上，光滑耐磨、手感好、色泽美观，外表颜色为胡桃木色（颜色与装修风格配套）。采用 “五底三面”油漆工艺，色泽美观不变色、光滑耐磨、手感好。五金：五金配件均为优质产品，安装牢固结实。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-41910</wp:posOffset>
                  </wp:positionH>
                  <wp:positionV relativeFrom="paragraph">
                    <wp:posOffset>387350</wp:posOffset>
                  </wp:positionV>
                  <wp:extent cx="1405255" cy="1420495"/>
                  <wp:effectExtent l="0" t="0" r="4445" b="8255"/>
                  <wp:wrapNone/>
                  <wp:docPr id="8" name="图片_37"/>
                  <wp:cNvGraphicFramePr/>
                  <a:graphic xmlns:a="http://schemas.openxmlformats.org/drawingml/2006/main">
                    <a:graphicData uri="http://schemas.openxmlformats.org/drawingml/2006/picture">
                      <pic:pic xmlns:pic="http://schemas.openxmlformats.org/drawingml/2006/picture">
                        <pic:nvPicPr>
                          <pic:cNvPr id="8" name="图片_37"/>
                          <pic:cNvPicPr/>
                        </pic:nvPicPr>
                        <pic:blipFill>
                          <a:blip r:embed="rId4"/>
                          <a:stretch>
                            <a:fillRect/>
                          </a:stretch>
                        </pic:blipFill>
                        <pic:spPr>
                          <a:xfrm>
                            <a:off x="0" y="0"/>
                            <a:ext cx="1405255" cy="14204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规格：2000*1200*300mm ，结构：长方形，饰面：选用优质天然实木木皮，木皮厚0.6mm，无节疤、裂纹、夹皮变色等缺陷，经过防虫防腐处理，耐磨性好，纹理清晰自然，色泽一致。基材：采用优质环保实木板，甲醛含量≤1.5mg/L，经防潮、防虫、防腐处理，强度高，刚性好，不变形，物理、化学性能指标均达到国家标准。油漆及工艺：采用环保油漆，底漆为（PU）双成份聚氨脂漆，漆膜硬度达4Ｈ以上，光滑耐磨、手感好、色泽美观，外表颜色为胡桃木色（颜色与装修风格配套）。采用 “五底三面”油漆工艺，色泽美观不变色、光滑耐磨、手感好。五金：五金配件均为优质产品，安装牢固结实。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-55880</wp:posOffset>
                  </wp:positionH>
                  <wp:positionV relativeFrom="paragraph">
                    <wp:posOffset>333375</wp:posOffset>
                  </wp:positionV>
                  <wp:extent cx="1438910" cy="1619250"/>
                  <wp:effectExtent l="0" t="0" r="8890" b="0"/>
                  <wp:wrapNone/>
                  <wp:docPr id="10" name="图片_5"/>
                  <wp:cNvGraphicFramePr/>
                  <a:graphic xmlns:a="http://schemas.openxmlformats.org/drawingml/2006/main">
                    <a:graphicData uri="http://schemas.openxmlformats.org/drawingml/2006/picture">
                      <pic:pic xmlns:pic="http://schemas.openxmlformats.org/drawingml/2006/picture">
                        <pic:nvPicPr>
                          <pic:cNvPr id="10" name="图片_5"/>
                          <pic:cNvPicPr/>
                        </pic:nvPicPr>
                        <pic:blipFill>
                          <a:blip r:embed="rId5"/>
                          <a:stretch>
                            <a:fillRect/>
                          </a:stretch>
                        </pic:blipFill>
                        <pic:spPr>
                          <a:xfrm>
                            <a:off x="0" y="0"/>
                            <a:ext cx="1438910" cy="16192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规格：600*450*500mm ，饰面：选用优质天然实木木皮，木皮厚0.6mm，无节疤、裂纹、夹皮变色等缺陷，经过防虫防腐处理，耐磨性好，纹理清晰自然，色泽一致。基材：采用优质环保实木板，甲醛含量≤1.5mg/L，经防潮、防虫、防腐处理，强度高，刚性好，不变形，物理、化学性能指标均达到国家标准。油漆及工艺：采用环保油漆，底漆为（PU）双成份聚氨脂漆，漆膜硬度达4Ｈ以上，光滑耐磨、手感好、色泽美观，外表颜色为胡桃木色（颜色与装修风格配套）。采用 “五底三面”油漆工艺，色泽美观不变色、光滑耐磨、手感好。五金：五金配件均为优质产品，安装牢固结实。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-52705</wp:posOffset>
                  </wp:positionH>
                  <wp:positionV relativeFrom="paragraph">
                    <wp:posOffset>212725</wp:posOffset>
                  </wp:positionV>
                  <wp:extent cx="1479550" cy="1826895"/>
                  <wp:effectExtent l="0" t="0" r="6350" b="1905"/>
                  <wp:wrapNone/>
                  <wp:docPr id="12" name="图片_8"/>
                  <wp:cNvGraphicFramePr/>
                  <a:graphic xmlns:a="http://schemas.openxmlformats.org/drawingml/2006/main">
                    <a:graphicData uri="http://schemas.openxmlformats.org/drawingml/2006/picture">
                      <pic:pic xmlns:pic="http://schemas.openxmlformats.org/drawingml/2006/picture">
                        <pic:nvPicPr>
                          <pic:cNvPr id="12" name="图片_8"/>
                          <pic:cNvPicPr/>
                        </pic:nvPicPr>
                        <pic:blipFill>
                          <a:blip r:embed="rId6"/>
                          <a:stretch>
                            <a:fillRect/>
                          </a:stretch>
                        </pic:blipFill>
                        <pic:spPr>
                          <a:xfrm>
                            <a:off x="0" y="0"/>
                            <a:ext cx="1479550" cy="18268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规格：450*450*500mm ，饰面：选用优质天然实木木皮，木皮厚0.6mm，无节疤、裂纹、夹皮变色等缺陷，经过防虫防腐处理，耐磨性好，纹理清晰自然，色泽一致。基材：采用优质环保实木板，甲醛含量≤1.5mg/L，经防潮、防虫、防腐处理，强度高，刚性好，不变形，物理、化学性能指标均达到国家标准。油漆及工艺：采用环保油漆，底漆为（PU）双成份聚氨脂漆，漆膜硬度达4Ｈ以上，光滑耐磨、手感好、色泽美观，外表颜色为胡桃木色（颜色与装修风格配套）。采用 “五底三面”油漆工艺，色泽美观不变色、光滑耐磨、手感好。五金：五金配件均为优质产品，安装牢固结实。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-52705</wp:posOffset>
                  </wp:positionH>
                  <wp:positionV relativeFrom="paragraph">
                    <wp:posOffset>212725</wp:posOffset>
                  </wp:positionV>
                  <wp:extent cx="1451610" cy="1826895"/>
                  <wp:effectExtent l="0" t="0" r="15240" b="1905"/>
                  <wp:wrapNone/>
                  <wp:docPr id="13" name="图片_25"/>
                  <wp:cNvGraphicFramePr/>
                  <a:graphic xmlns:a="http://schemas.openxmlformats.org/drawingml/2006/main">
                    <a:graphicData uri="http://schemas.openxmlformats.org/drawingml/2006/picture">
                      <pic:pic xmlns:pic="http://schemas.openxmlformats.org/drawingml/2006/picture">
                        <pic:nvPicPr>
                          <pic:cNvPr id="13" name="图片_25"/>
                          <pic:cNvPicPr/>
                        </pic:nvPicPr>
                        <pic:blipFill>
                          <a:blip r:embed="rId6"/>
                          <a:stretch>
                            <a:fillRect/>
                          </a:stretch>
                        </pic:blipFill>
                        <pic:spPr>
                          <a:xfrm>
                            <a:off x="0" y="0"/>
                            <a:ext cx="1451610" cy="18268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长条桌</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尺寸：1380*400*750mm。</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饰面：选用天然胡桃木木皮贴面，厚度≥0.6mm。经过防虫防腐处理，耐磨性好，纹理清晰自然，色泽一致。基材：采用符合欧洲E-1标准的品牌优质实木，经防潮、防虫、防腐处理，强度高，刚性好，不变形，物理、化学性能指标均达到国家标准。封边：胡桃木实木封边；耐脏、耐磨、色牢度好。油漆及工艺：采用环保油漆，底漆为（PU）双成份聚氨脂漆。漆膜硬度达≥3H。光滑耐磨、手感好，色泽美观，底着漆工艺，经五底三面磨退工艺处理，成品要求木纹清晰，木皮拼接木纹必须交圈，颜色为胡桃木色（且与床、床头柜及装修颜色匹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-53340</wp:posOffset>
                  </wp:positionH>
                  <wp:positionV relativeFrom="paragraph">
                    <wp:posOffset>227965</wp:posOffset>
                  </wp:positionV>
                  <wp:extent cx="1426845" cy="1755140"/>
                  <wp:effectExtent l="0" t="0" r="1905" b="16510"/>
                  <wp:wrapNone/>
                  <wp:docPr id="14" name="图片_19"/>
                  <wp:cNvGraphicFramePr/>
                  <a:graphic xmlns:a="http://schemas.openxmlformats.org/drawingml/2006/main">
                    <a:graphicData uri="http://schemas.openxmlformats.org/drawingml/2006/picture">
                      <pic:pic xmlns:pic="http://schemas.openxmlformats.org/drawingml/2006/picture">
                        <pic:nvPicPr>
                          <pic:cNvPr id="14" name="图片_19"/>
                          <pic:cNvPicPr/>
                        </pic:nvPicPr>
                        <pic:blipFill>
                          <a:blip r:embed="rId7"/>
                          <a:stretch>
                            <a:fillRect/>
                          </a:stretch>
                        </pic:blipFill>
                        <pic:spPr>
                          <a:xfrm>
                            <a:off x="0" y="0"/>
                            <a:ext cx="1426845" cy="175514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椅子</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皮面实木座椅：约420*400*450mm 椅子面料：所有皮质部分全部采用采用知名品牌优质西皮 (厚≥1.0mm)，经防潮、防污等工艺处理，皮面柔软舒适，光泽持久性，颜色为咖啡色（颜色可选）。海绵：采用知名品牌的PU成型发泡高密度阻燃海绵，表面须带一层保护面，防氧化，防碎，经过HD测试永不变形。椅身能承受压力≥150KG。椅架：橡胶木实木，卯榫结构，椅腿≥30×50mm，横档≥30×50mm，椅面下四角加三角支撑。安装要求：椅子安装牢固可靠，水平放置平稳无晃动。油漆及工艺：采用“大宝”环保油漆，底漆为（PU）双成份聚氨脂漆，漆膜硬度≥3H，光滑耐磨、手感好、色泽美观，外表颜色为柚色（颜色可选，与桌匹配）。经“五底三面”工艺处理，色泽美观不变色，手感好，光滑耐磨，成品要求木纹清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403225</wp:posOffset>
                  </wp:positionV>
                  <wp:extent cx="1457325" cy="1836420"/>
                  <wp:effectExtent l="0" t="0" r="9525" b="11430"/>
                  <wp:wrapNone/>
                  <wp:docPr id="9" name="图片_21"/>
                  <wp:cNvGraphicFramePr/>
                  <a:graphic xmlns:a="http://schemas.openxmlformats.org/drawingml/2006/main">
                    <a:graphicData uri="http://schemas.openxmlformats.org/drawingml/2006/picture">
                      <pic:pic xmlns:pic="http://schemas.openxmlformats.org/drawingml/2006/picture">
                        <pic:nvPicPr>
                          <pic:cNvPr id="9" name="图片_21"/>
                          <pic:cNvPicPr/>
                        </pic:nvPicPr>
                        <pic:blipFill>
                          <a:blip r:embed="rId8"/>
                          <a:stretch>
                            <a:fillRect/>
                          </a:stretch>
                        </pic:blipFill>
                        <pic:spPr>
                          <a:xfrm>
                            <a:off x="0" y="0"/>
                            <a:ext cx="1457325" cy="183642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席梦思床垫，品牌要求：国内知名品牌   尺寸：2000*1800*180.床垫要求一面软一面硬。所用面料及其他材料符合国家床垫QB/T1952.2-2011标准。无异味，抑螨性能及致病菌符合GB15979-2002标准，甲醛释放量符合GB18587-2001标准，阻燃性符合GB17927.1标准要求。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-43815</wp:posOffset>
                  </wp:positionH>
                  <wp:positionV relativeFrom="paragraph">
                    <wp:posOffset>575310</wp:posOffset>
                  </wp:positionV>
                  <wp:extent cx="1296670" cy="1122680"/>
                  <wp:effectExtent l="0" t="0" r="13970" b="5080"/>
                  <wp:wrapNone/>
                  <wp:docPr id="11" name="图片_6"/>
                  <wp:cNvGraphicFramePr/>
                  <a:graphic xmlns:a="http://schemas.openxmlformats.org/drawingml/2006/main">
                    <a:graphicData uri="http://schemas.openxmlformats.org/drawingml/2006/picture">
                      <pic:pic xmlns:pic="http://schemas.openxmlformats.org/drawingml/2006/picture">
                        <pic:nvPicPr>
                          <pic:cNvPr id="11" name="图片_6"/>
                          <pic:cNvPicPr/>
                        </pic:nvPicPr>
                        <pic:blipFill>
                          <a:blip r:embed="rId9"/>
                          <a:stretch>
                            <a:fillRect/>
                          </a:stretch>
                        </pic:blipFill>
                        <pic:spPr>
                          <a:xfrm>
                            <a:off x="0" y="0"/>
                            <a:ext cx="1296670" cy="112268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C0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床垫</w:t>
            </w:r>
          </w:p>
        </w:tc>
        <w:tc>
          <w:tcPr>
            <w:tcW w:w="7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席梦思床垫，品牌要求：国内知名品牌  尺寸：2000*1200*180.床垫要求一面软一面硬。所用面料及其他材料符合国家床垫QB/T1952.2-2011标准。无异味，抑螨性能及致病菌符合GB15979-2002标准，甲醛释放量符合GB18587-2001标准，阻燃性符合GB17927.1标准要求。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58420</wp:posOffset>
                  </wp:positionH>
                  <wp:positionV relativeFrom="paragraph">
                    <wp:posOffset>543560</wp:posOffset>
                  </wp:positionV>
                  <wp:extent cx="1238885" cy="1056640"/>
                  <wp:effectExtent l="0" t="0" r="10795" b="10160"/>
                  <wp:wrapNone/>
                  <wp:docPr id="15" name="图片_7"/>
                  <wp:cNvGraphicFramePr/>
                  <a:graphic xmlns:a="http://schemas.openxmlformats.org/drawingml/2006/main">
                    <a:graphicData uri="http://schemas.openxmlformats.org/drawingml/2006/picture">
                      <pic:pic xmlns:pic="http://schemas.openxmlformats.org/drawingml/2006/picture">
                        <pic:nvPicPr>
                          <pic:cNvPr id="15" name="图片_7"/>
                          <pic:cNvPicPr/>
                        </pic:nvPicPr>
                        <pic:blipFill>
                          <a:blip r:embed="rId10"/>
                          <a:stretch>
                            <a:fillRect/>
                          </a:stretch>
                        </pic:blipFill>
                        <pic:spPr>
                          <a:xfrm>
                            <a:off x="0" y="0"/>
                            <a:ext cx="1238885" cy="105664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spacing w:before="156" w:beforeLines="50" w:after="156" w:afterLines="50" w:line="360" w:lineRule="auto"/>
        <w:rPr>
          <w:rFonts w:ascii="宋体" w:hAnsi="宋体" w:eastAsia="宋体"/>
          <w:sz w:val="24"/>
        </w:rPr>
      </w:pPr>
      <w:r>
        <w:rPr>
          <w:rFonts w:ascii="宋体" w:hAnsi="宋体" w:eastAsia="宋体"/>
          <w:b/>
          <w:sz w:val="24"/>
        </w:rPr>
        <w:t>注：</w:t>
      </w:r>
      <w:r>
        <w:rPr>
          <w:rFonts w:ascii="宋体" w:hAnsi="宋体" w:eastAsia="宋体"/>
          <w:sz w:val="24"/>
        </w:rPr>
        <w:t>投标报价应为招标文件中要求全部工作内容的价格，</w:t>
      </w:r>
      <w:r>
        <w:rPr>
          <w:rFonts w:hint="eastAsia" w:ascii="宋体" w:hAnsi="宋体" w:eastAsia="宋体"/>
          <w:sz w:val="24"/>
          <w:lang w:val="en-US" w:eastAsia="zh-CN"/>
        </w:rPr>
        <w:t>结算方式</w:t>
      </w:r>
      <w:r>
        <w:rPr>
          <w:rFonts w:ascii="宋体" w:hAnsi="宋体" w:eastAsia="宋体"/>
          <w:sz w:val="24"/>
        </w:rPr>
        <w:t>采用</w:t>
      </w:r>
      <w:r>
        <w:rPr>
          <w:rFonts w:hint="eastAsia" w:ascii="宋体" w:hAnsi="宋体" w:eastAsia="宋体"/>
          <w:sz w:val="24"/>
          <w:lang w:val="en-US" w:eastAsia="zh-CN"/>
        </w:rPr>
        <w:t>固定单价</w:t>
      </w:r>
      <w:r>
        <w:rPr>
          <w:rFonts w:ascii="宋体" w:hAnsi="宋体" w:eastAsia="宋体"/>
          <w:sz w:val="24"/>
        </w:rPr>
        <w:t>。</w:t>
      </w:r>
    </w:p>
    <w:p>
      <w:pPr>
        <w:numPr>
          <w:ilvl w:val="0"/>
          <w:numId w:val="1"/>
        </w:numPr>
        <w:tabs>
          <w:tab w:val="left" w:pos="426"/>
        </w:tabs>
        <w:spacing w:before="156" w:beforeLines="50" w:after="156" w:afterLines="50" w:line="360" w:lineRule="auto"/>
        <w:ind w:hanging="1095"/>
        <w:rPr>
          <w:rFonts w:ascii="宋体" w:hAnsi="宋体" w:eastAsia="宋体" w:cs="楷体"/>
          <w:color w:val="000000"/>
          <w:sz w:val="28"/>
        </w:rPr>
      </w:pPr>
      <w:r>
        <w:rPr>
          <w:rFonts w:ascii="宋体" w:hAnsi="宋体" w:eastAsia="宋体"/>
          <w:sz w:val="24"/>
        </w:rPr>
        <w:t>本次报价为含税价，增值税税率为</w:t>
      </w:r>
      <w:r>
        <w:rPr>
          <w:rFonts w:ascii="宋体" w:hAnsi="宋体" w:eastAsia="宋体"/>
          <w:sz w:val="24"/>
          <w:u w:val="single"/>
        </w:rPr>
        <w:t xml:space="preserve">     </w:t>
      </w:r>
      <w:r>
        <w:rPr>
          <w:rFonts w:ascii="宋体" w:hAnsi="宋体" w:eastAsia="宋体"/>
          <w:sz w:val="24"/>
        </w:rPr>
        <w:t>。</w:t>
      </w:r>
    </w:p>
    <w:p>
      <w:pPr>
        <w:pStyle w:val="12"/>
        <w:rPr>
          <w:rFonts w:ascii="宋体" w:hAnsi="宋体" w:eastAsia="宋体"/>
          <w:sz w:val="24"/>
        </w:rPr>
      </w:pPr>
    </w:p>
    <w:p>
      <w:pPr>
        <w:pStyle w:val="12"/>
        <w:rPr>
          <w:rFonts w:ascii="宋体" w:hAnsi="宋体" w:eastAsia="宋体"/>
          <w:sz w:val="24"/>
        </w:rPr>
      </w:pPr>
    </w:p>
    <w:p>
      <w:pPr>
        <w:pStyle w:val="12"/>
        <w:rPr>
          <w:rFonts w:ascii="宋体" w:hAnsi="宋体" w:eastAsia="宋体"/>
          <w:sz w:val="24"/>
        </w:rPr>
      </w:pPr>
    </w:p>
    <w:p>
      <w:pPr>
        <w:tabs>
          <w:tab w:val="left" w:pos="1995"/>
        </w:tabs>
        <w:spacing w:line="360" w:lineRule="auto"/>
        <w:rPr>
          <w:rFonts w:ascii="宋体" w:hAnsi="宋体" w:eastAsia="宋体" w:cs="楷体"/>
          <w:color w:val="000000"/>
          <w:sz w:val="24"/>
          <w:szCs w:val="24"/>
        </w:rPr>
      </w:pPr>
      <w:r>
        <w:rPr>
          <w:rFonts w:ascii="宋体" w:hAnsi="宋体" w:eastAsia="宋体" w:cs="楷体"/>
          <w:color w:val="000000"/>
          <w:sz w:val="28"/>
        </w:rPr>
        <w:t xml:space="preserve">                          </w:t>
      </w:r>
      <w:r>
        <w:rPr>
          <w:rFonts w:ascii="宋体" w:hAnsi="宋体" w:eastAsia="宋体" w:cs="楷体"/>
          <w:color w:val="000000"/>
          <w:sz w:val="24"/>
          <w:szCs w:val="24"/>
        </w:rPr>
        <w:t>投标人（盖章）：</w:t>
      </w:r>
    </w:p>
    <w:p>
      <w:pPr>
        <w:tabs>
          <w:tab w:val="left" w:pos="1995"/>
        </w:tabs>
        <w:spacing w:line="360" w:lineRule="auto"/>
        <w:rPr>
          <w:rFonts w:ascii="宋体" w:hAnsi="宋体" w:eastAsia="宋体" w:cs="楷体"/>
          <w:color w:val="000000"/>
          <w:sz w:val="24"/>
          <w:szCs w:val="24"/>
        </w:rPr>
      </w:pPr>
      <w:r>
        <w:rPr>
          <w:rFonts w:ascii="宋体" w:hAnsi="宋体" w:eastAsia="宋体" w:cs="楷体"/>
          <w:color w:val="000000"/>
          <w:sz w:val="24"/>
          <w:szCs w:val="24"/>
        </w:rPr>
        <w:t xml:space="preserve">                              法定代表人或</w:t>
      </w:r>
    </w:p>
    <w:p>
      <w:pPr>
        <w:tabs>
          <w:tab w:val="left" w:pos="1995"/>
        </w:tabs>
        <w:spacing w:line="360" w:lineRule="auto"/>
        <w:ind w:firstLine="3600" w:firstLineChars="1500"/>
        <w:rPr>
          <w:rFonts w:ascii="宋体" w:hAnsi="宋体" w:eastAsia="宋体" w:cs="楷体"/>
          <w:color w:val="000000"/>
          <w:sz w:val="24"/>
          <w:szCs w:val="24"/>
        </w:rPr>
      </w:pPr>
      <w:r>
        <w:rPr>
          <w:rFonts w:ascii="宋体" w:hAnsi="宋体" w:eastAsia="宋体" w:cs="楷体"/>
          <w:color w:val="000000"/>
          <w:sz w:val="24"/>
          <w:szCs w:val="24"/>
        </w:rPr>
        <w:t>授权委托人（签字或盖章）：</w:t>
      </w:r>
    </w:p>
    <w:p>
      <w:pPr>
        <w:tabs>
          <w:tab w:val="left" w:pos="1995"/>
        </w:tabs>
        <w:spacing w:line="360" w:lineRule="auto"/>
        <w:ind w:firstLine="3600" w:firstLineChars="1500"/>
        <w:rPr>
          <w:rFonts w:ascii="宋体" w:hAnsi="宋体" w:eastAsia="宋体"/>
          <w:sz w:val="28"/>
        </w:rPr>
      </w:pPr>
      <w:r>
        <w:rPr>
          <w:rFonts w:ascii="宋体" w:hAnsi="宋体" w:eastAsia="宋体" w:cs="楷体"/>
          <w:color w:val="000000"/>
          <w:sz w:val="24"/>
          <w:szCs w:val="24"/>
        </w:rPr>
        <w:t>日期：</w:t>
      </w:r>
    </w:p>
    <w:p>
      <w:pPr>
        <w:pStyle w:val="2"/>
        <w:rPr>
          <w:rFonts w:hint="eastAsia"/>
        </w:rPr>
        <w:sectPr>
          <w:pgSz w:w="16838" w:h="11906" w:orient="landscape"/>
          <w:pgMar w:top="1800" w:right="1440" w:bottom="1800" w:left="1440" w:header="851" w:footer="992" w:gutter="0"/>
          <w:cols w:space="425" w:num="1"/>
          <w:docGrid w:type="lines" w:linePitch="312" w:charSpace="0"/>
        </w:sectPr>
      </w:pPr>
    </w:p>
    <w:p>
      <w:pPr>
        <w:spacing w:line="360" w:lineRule="auto"/>
        <w:jc w:val="left"/>
        <w:rPr>
          <w:rFonts w:hint="eastAsia" w:ascii="宋体" w:hAnsi="宋体" w:eastAsia="宋体" w:cs="宋体"/>
          <w:b/>
          <w:sz w:val="28"/>
          <w:szCs w:val="44"/>
        </w:rPr>
      </w:pPr>
      <w:r>
        <w:rPr>
          <w:rFonts w:hint="eastAsia" w:ascii="宋体" w:hAnsi="宋体" w:eastAsia="宋体" w:cs="宋体"/>
          <w:b/>
          <w:sz w:val="28"/>
          <w:szCs w:val="44"/>
        </w:rPr>
        <w:t>附件</w:t>
      </w:r>
      <w:r>
        <w:rPr>
          <w:rFonts w:hint="eastAsia" w:ascii="宋体" w:hAnsi="宋体" w:eastAsia="宋体" w:cs="宋体"/>
          <w:b/>
          <w:sz w:val="28"/>
          <w:szCs w:val="44"/>
          <w:lang w:val="en-US" w:eastAsia="zh-CN"/>
        </w:rPr>
        <w:t>1</w:t>
      </w:r>
      <w:r>
        <w:rPr>
          <w:rFonts w:hint="eastAsia" w:ascii="宋体" w:hAnsi="宋体" w:eastAsia="宋体" w:cs="宋体"/>
          <w:b/>
          <w:sz w:val="28"/>
          <w:szCs w:val="44"/>
        </w:rPr>
        <w:t>：</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rPr>
          <w:rFonts w:ascii="宋体" w:hAnsi="宋体" w:eastAsia="宋体" w:cs="宋体"/>
          <w:b/>
          <w:sz w:val="24"/>
        </w:rPr>
      </w:pPr>
    </w:p>
    <w:p>
      <w:pPr>
        <w:widowControl/>
        <w:jc w:val="left"/>
        <w:rPr>
          <w:rFonts w:ascii="宋体" w:hAnsi="宋体" w:eastAsia="宋体"/>
          <w:sz w:val="28"/>
        </w:rPr>
      </w:pPr>
      <w:r>
        <w:rPr>
          <w:rFonts w:ascii="宋体" w:hAnsi="宋体" w:eastAsia="宋体"/>
          <w:sz w:val="28"/>
        </w:rPr>
        <w:br w:type="page"/>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hint="eastAsia" w:ascii="宋体" w:hAnsi="宋体" w:eastAsia="宋体" w:cs="宋体"/>
          <w:b/>
          <w:sz w:val="28"/>
          <w:szCs w:val="44"/>
          <w:lang w:val="en-US" w:eastAsia="zh-CN"/>
        </w:rPr>
        <w:t>2</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代理人身份证号码：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w:t>
      </w:r>
    </w:p>
    <w:p>
      <w:pPr>
        <w:spacing w:line="360" w:lineRule="auto"/>
        <w:ind w:firstLine="1320" w:firstLineChars="550"/>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rPr>
          <w:rFonts w:ascii="宋体" w:hAnsi="宋体" w:eastAsia="宋体" w:cs="宋体"/>
          <w:sz w:val="24"/>
        </w:rPr>
      </w:pP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spacing w:line="360" w:lineRule="auto"/>
        <w:ind w:right="480" w:firstLine="3960" w:firstLineChars="1650"/>
        <w:rPr>
          <w:rFonts w:ascii="宋体" w:hAnsi="宋体" w:cs="宋体"/>
          <w:sz w:val="24"/>
        </w:rPr>
      </w:pPr>
    </w:p>
    <w:p>
      <w:pPr>
        <w:widowControl/>
        <w:spacing w:line="360" w:lineRule="auto"/>
        <w:jc w:val="left"/>
        <w:rPr>
          <w:rFonts w:ascii="宋体" w:hAnsi="宋体" w:eastAsia="宋体"/>
          <w:sz w:val="28"/>
          <w:highlight w:val="yellow"/>
        </w:rPr>
      </w:pPr>
    </w:p>
    <w:p>
      <w:pPr>
        <w:widowControl/>
        <w:spacing w:line="360" w:lineRule="auto"/>
        <w:jc w:val="left"/>
        <w:rPr>
          <w:rFonts w:ascii="宋体" w:hAnsi="宋体" w:eastAsia="宋体"/>
          <w:sz w:val="28"/>
          <w:highlight w:val="yellow"/>
        </w:rPr>
      </w:pP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hint="eastAsia" w:ascii="宋体" w:hAnsi="宋体" w:eastAsia="宋体" w:cs="宋体"/>
          <w:b/>
          <w:sz w:val="28"/>
          <w:szCs w:val="44"/>
          <w:lang w:val="en-US" w:eastAsia="zh-CN"/>
        </w:rPr>
        <w:t>3</w:t>
      </w:r>
      <w:r>
        <w:rPr>
          <w:rFonts w:hint="eastAsia" w:ascii="宋体" w:hAnsi="宋体" w:eastAsia="宋体" w:cs="宋体"/>
          <w:b/>
          <w:sz w:val="28"/>
          <w:szCs w:val="44"/>
        </w:rPr>
        <w:t>：投标人营业执照（盖公章）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IDFont+F2">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35840"/>
    <w:multiLevelType w:val="multilevel"/>
    <w:tmpl w:val="63835840"/>
    <w:lvl w:ilvl="0" w:tentative="0">
      <w:start w:val="1"/>
      <w:numFmt w:val="decimal"/>
      <w:lvlText w:val="%1、"/>
      <w:lvlJc w:val="left"/>
      <w:pPr>
        <w:tabs>
          <w:tab w:val="left" w:pos="1095"/>
        </w:tabs>
        <w:ind w:left="1095"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diZTc3ZTJlNmM0ODMzYWU0MDhkYWUxODE0Yjg2YTQifQ=="/>
  </w:docVars>
  <w:rsids>
    <w:rsidRoot w:val="00427E8C"/>
    <w:rsid w:val="00014C2A"/>
    <w:rsid w:val="00044E8A"/>
    <w:rsid w:val="001B116F"/>
    <w:rsid w:val="001C312D"/>
    <w:rsid w:val="00225447"/>
    <w:rsid w:val="00241154"/>
    <w:rsid w:val="00281FE3"/>
    <w:rsid w:val="00351FEF"/>
    <w:rsid w:val="00372CA9"/>
    <w:rsid w:val="00386195"/>
    <w:rsid w:val="003D0E10"/>
    <w:rsid w:val="0040412B"/>
    <w:rsid w:val="00415D3D"/>
    <w:rsid w:val="00427E8C"/>
    <w:rsid w:val="00485839"/>
    <w:rsid w:val="004C4EB1"/>
    <w:rsid w:val="00682E33"/>
    <w:rsid w:val="006A0C8C"/>
    <w:rsid w:val="006B0E7D"/>
    <w:rsid w:val="007352D7"/>
    <w:rsid w:val="007930DD"/>
    <w:rsid w:val="007A70DF"/>
    <w:rsid w:val="007B147F"/>
    <w:rsid w:val="007E439F"/>
    <w:rsid w:val="00881E67"/>
    <w:rsid w:val="00885F18"/>
    <w:rsid w:val="008D716F"/>
    <w:rsid w:val="00900500"/>
    <w:rsid w:val="00933E31"/>
    <w:rsid w:val="00976349"/>
    <w:rsid w:val="009C3161"/>
    <w:rsid w:val="00A229AB"/>
    <w:rsid w:val="00A73F85"/>
    <w:rsid w:val="00A76648"/>
    <w:rsid w:val="00B04AE5"/>
    <w:rsid w:val="00B336ED"/>
    <w:rsid w:val="00C6503B"/>
    <w:rsid w:val="00CD65FA"/>
    <w:rsid w:val="00CE6D8C"/>
    <w:rsid w:val="00DB3707"/>
    <w:rsid w:val="00F51914"/>
    <w:rsid w:val="00F97EC2"/>
    <w:rsid w:val="0393150E"/>
    <w:rsid w:val="05831602"/>
    <w:rsid w:val="05985270"/>
    <w:rsid w:val="06CB1BC3"/>
    <w:rsid w:val="071D4AEC"/>
    <w:rsid w:val="0721282E"/>
    <w:rsid w:val="074438CD"/>
    <w:rsid w:val="07944DAE"/>
    <w:rsid w:val="07AD6BD5"/>
    <w:rsid w:val="07CE2BC3"/>
    <w:rsid w:val="07CF7529"/>
    <w:rsid w:val="08FA4004"/>
    <w:rsid w:val="0A6F4340"/>
    <w:rsid w:val="0B195170"/>
    <w:rsid w:val="0D240982"/>
    <w:rsid w:val="0D95362E"/>
    <w:rsid w:val="0DA665D0"/>
    <w:rsid w:val="0F7C7F73"/>
    <w:rsid w:val="0FD22917"/>
    <w:rsid w:val="111E1B8C"/>
    <w:rsid w:val="13225964"/>
    <w:rsid w:val="13520775"/>
    <w:rsid w:val="13BC1734"/>
    <w:rsid w:val="14904534"/>
    <w:rsid w:val="15C2342E"/>
    <w:rsid w:val="161D2412"/>
    <w:rsid w:val="16C31562"/>
    <w:rsid w:val="188629E4"/>
    <w:rsid w:val="19C2220A"/>
    <w:rsid w:val="19DB038C"/>
    <w:rsid w:val="1A0D279E"/>
    <w:rsid w:val="1A5F0B95"/>
    <w:rsid w:val="1B195D57"/>
    <w:rsid w:val="1B7156DA"/>
    <w:rsid w:val="1C874A89"/>
    <w:rsid w:val="1C8B37EB"/>
    <w:rsid w:val="1CA229F9"/>
    <w:rsid w:val="1CFB4EBD"/>
    <w:rsid w:val="1DE101C9"/>
    <w:rsid w:val="1F560272"/>
    <w:rsid w:val="1FA52381"/>
    <w:rsid w:val="20AC4ABE"/>
    <w:rsid w:val="210019C9"/>
    <w:rsid w:val="22E744D4"/>
    <w:rsid w:val="22F97D63"/>
    <w:rsid w:val="258C4EBE"/>
    <w:rsid w:val="2635037A"/>
    <w:rsid w:val="277309D4"/>
    <w:rsid w:val="28AE3D10"/>
    <w:rsid w:val="29451A9A"/>
    <w:rsid w:val="2B2E6A92"/>
    <w:rsid w:val="2C1169F2"/>
    <w:rsid w:val="2C5A1872"/>
    <w:rsid w:val="2D0F6B83"/>
    <w:rsid w:val="2F8F7D15"/>
    <w:rsid w:val="307B44AD"/>
    <w:rsid w:val="30D661CF"/>
    <w:rsid w:val="30EF65D1"/>
    <w:rsid w:val="31FF4DC9"/>
    <w:rsid w:val="32007D8A"/>
    <w:rsid w:val="35444468"/>
    <w:rsid w:val="355B6D60"/>
    <w:rsid w:val="371B35EC"/>
    <w:rsid w:val="373C0842"/>
    <w:rsid w:val="3AC32CD9"/>
    <w:rsid w:val="3CF44222"/>
    <w:rsid w:val="3D4F6AA6"/>
    <w:rsid w:val="3D94095C"/>
    <w:rsid w:val="3E5A3954"/>
    <w:rsid w:val="41E2438C"/>
    <w:rsid w:val="43B35FE0"/>
    <w:rsid w:val="45444B57"/>
    <w:rsid w:val="45751AE8"/>
    <w:rsid w:val="45C75D73"/>
    <w:rsid w:val="468A5331"/>
    <w:rsid w:val="4745656B"/>
    <w:rsid w:val="4BC0573E"/>
    <w:rsid w:val="4C516396"/>
    <w:rsid w:val="4CAF7C4A"/>
    <w:rsid w:val="4CE3154D"/>
    <w:rsid w:val="4F9A62A6"/>
    <w:rsid w:val="4FCE7CFE"/>
    <w:rsid w:val="51F06EA8"/>
    <w:rsid w:val="523C4674"/>
    <w:rsid w:val="52B21B59"/>
    <w:rsid w:val="53C42413"/>
    <w:rsid w:val="53DB1025"/>
    <w:rsid w:val="542812E0"/>
    <w:rsid w:val="547F146C"/>
    <w:rsid w:val="555C7B5A"/>
    <w:rsid w:val="55713605"/>
    <w:rsid w:val="55E17B2B"/>
    <w:rsid w:val="58A96429"/>
    <w:rsid w:val="5A513A05"/>
    <w:rsid w:val="5D5F1B97"/>
    <w:rsid w:val="5DA629AC"/>
    <w:rsid w:val="5E4A6AF2"/>
    <w:rsid w:val="5FE86BBA"/>
    <w:rsid w:val="60341DFF"/>
    <w:rsid w:val="606A44D2"/>
    <w:rsid w:val="60B232B2"/>
    <w:rsid w:val="60EE6452"/>
    <w:rsid w:val="61614E76"/>
    <w:rsid w:val="61CB40A7"/>
    <w:rsid w:val="646F3406"/>
    <w:rsid w:val="64AE394D"/>
    <w:rsid w:val="66C815D6"/>
    <w:rsid w:val="67393D22"/>
    <w:rsid w:val="67C1666E"/>
    <w:rsid w:val="693379DF"/>
    <w:rsid w:val="6C4D7FF6"/>
    <w:rsid w:val="6D800101"/>
    <w:rsid w:val="6E22598D"/>
    <w:rsid w:val="700150E7"/>
    <w:rsid w:val="706903B1"/>
    <w:rsid w:val="71D92806"/>
    <w:rsid w:val="733846A1"/>
    <w:rsid w:val="748E7123"/>
    <w:rsid w:val="76A74C8A"/>
    <w:rsid w:val="771A18F7"/>
    <w:rsid w:val="7808209B"/>
    <w:rsid w:val="78727511"/>
    <w:rsid w:val="7A0F14BB"/>
    <w:rsid w:val="7C0F6613"/>
    <w:rsid w:val="7CA0289E"/>
    <w:rsid w:val="7E144742"/>
    <w:rsid w:val="7F0C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0"/>
    <w:pPr>
      <w:keepNext/>
      <w:keepLines/>
      <w:adjustRightInd w:val="0"/>
      <w:spacing w:before="340" w:after="330" w:line="578" w:lineRule="auto"/>
      <w:jc w:val="left"/>
      <w:outlineLvl w:val="0"/>
    </w:pPr>
    <w:rPr>
      <w:rFonts w:ascii="Times New Roman" w:hAnsi="Times New Roman" w:eastAsia="宋体" w:cs="Times New Roman"/>
      <w:b/>
      <w:bCs/>
      <w:kern w:val="44"/>
      <w:sz w:val="44"/>
      <w:szCs w:val="44"/>
    </w:rPr>
  </w:style>
  <w:style w:type="paragraph" w:styleId="4">
    <w:name w:val="heading 4"/>
    <w:basedOn w:val="1"/>
    <w:next w:val="1"/>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paragraph" w:customStyle="1" w:styleId="1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fontstyle01"/>
    <w:basedOn w:val="10"/>
    <w:qFormat/>
    <w:uiPriority w:val="0"/>
    <w:rPr>
      <w:rFonts w:hint="default" w:ascii="CIDFont+F2" w:hAnsi="CIDFont+F2"/>
      <w:color w:val="000000"/>
      <w:sz w:val="16"/>
      <w:szCs w:val="16"/>
    </w:rPr>
  </w:style>
  <w:style w:type="paragraph" w:customStyle="1" w:styleId="16">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7">
    <w:name w:val="List Paragraph"/>
    <w:basedOn w:val="1"/>
    <w:qFormat/>
    <w:uiPriority w:val="99"/>
    <w:pPr>
      <w:ind w:firstLine="420" w:firstLineChars="200"/>
    </w:pPr>
  </w:style>
  <w:style w:type="character" w:customStyle="1" w:styleId="18">
    <w:name w:val="标题 1 字符"/>
    <w:link w:val="3"/>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3489</Words>
  <Characters>3790</Characters>
  <Lines>8</Lines>
  <Paragraphs>2</Paragraphs>
  <TotalTime>21</TotalTime>
  <ScaleCrop>false</ScaleCrop>
  <LinksUpToDate>false</LinksUpToDate>
  <CharactersWithSpaces>4425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2022-09-21T08:44:15Z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BA1CD4A026FA4E549E08AAA2429EC8D4</vt:lpwstr>
  </property>
</Properties>
</file>